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6C5D" w:rsidRDefault="00286C5D" w:rsidP="00286C5D">
      <w:pPr>
        <w:pStyle w:val="a3"/>
        <w:spacing w:after="0"/>
        <w:jc w:val="center"/>
        <w:outlineLvl w:val="0"/>
        <w:rPr>
          <w:rFonts w:asciiTheme="minorHAnsi" w:hAnsiTheme="minorHAnsi"/>
          <w:b/>
          <w:smallCaps/>
          <w:sz w:val="26"/>
          <w:szCs w:val="24"/>
        </w:rPr>
      </w:pPr>
      <w:r w:rsidRPr="00286C5D">
        <w:rPr>
          <w:rFonts w:ascii="Times New Roman Полужирный" w:hAnsi="Times New Roman Полужирный" w:hint="eastAsia"/>
          <w:b/>
          <w:smallCaps/>
          <w:sz w:val="26"/>
          <w:szCs w:val="24"/>
        </w:rPr>
        <w:t>Примерный</w:t>
      </w:r>
      <w:r w:rsidRPr="00286C5D">
        <w:rPr>
          <w:rFonts w:ascii="Times New Roman Полужирный" w:hAnsi="Times New Roman Полужирный"/>
          <w:b/>
          <w:smallCaps/>
          <w:sz w:val="26"/>
          <w:szCs w:val="24"/>
        </w:rPr>
        <w:t xml:space="preserve"> перечень </w:t>
      </w:r>
      <w:r w:rsidRPr="00286C5D">
        <w:rPr>
          <w:rFonts w:ascii="Times New Roman Полужирный" w:hAnsi="Times New Roman Полужирный" w:hint="eastAsia"/>
          <w:b/>
          <w:smallCaps/>
          <w:sz w:val="26"/>
          <w:szCs w:val="24"/>
        </w:rPr>
        <w:t>вопросов</w:t>
      </w:r>
      <w:r w:rsidRPr="00286C5D">
        <w:rPr>
          <w:rFonts w:ascii="Times New Roman Полужирный" w:hAnsi="Times New Roman Полужирный"/>
          <w:b/>
          <w:smallCaps/>
          <w:sz w:val="26"/>
          <w:szCs w:val="24"/>
        </w:rPr>
        <w:t xml:space="preserve"> для подготовки </w:t>
      </w:r>
    </w:p>
    <w:p w:rsidR="00286C5D" w:rsidRDefault="00286C5D" w:rsidP="00286C5D">
      <w:pPr>
        <w:pStyle w:val="a3"/>
        <w:spacing w:after="0"/>
        <w:jc w:val="center"/>
        <w:outlineLvl w:val="0"/>
        <w:rPr>
          <w:rFonts w:asciiTheme="minorHAnsi" w:hAnsiTheme="minorHAnsi"/>
          <w:b/>
          <w:smallCaps/>
          <w:sz w:val="26"/>
          <w:szCs w:val="24"/>
        </w:rPr>
      </w:pPr>
      <w:r w:rsidRPr="00286C5D">
        <w:rPr>
          <w:rFonts w:ascii="Times New Roman Полужирный" w:hAnsi="Times New Roman Полужирный"/>
          <w:b/>
          <w:smallCaps/>
          <w:sz w:val="26"/>
          <w:szCs w:val="24"/>
        </w:rPr>
        <w:t>к дифференцированному зачету</w:t>
      </w:r>
    </w:p>
    <w:p w:rsidR="00286C5D" w:rsidRPr="00286C5D" w:rsidRDefault="00286C5D" w:rsidP="00286C5D">
      <w:pPr>
        <w:pStyle w:val="a3"/>
        <w:spacing w:after="0"/>
        <w:jc w:val="center"/>
        <w:outlineLvl w:val="0"/>
        <w:rPr>
          <w:rFonts w:asciiTheme="minorHAnsi" w:hAnsiTheme="minorHAnsi"/>
          <w:b/>
          <w:smallCaps/>
          <w:sz w:val="26"/>
          <w:szCs w:val="24"/>
        </w:rPr>
      </w:pP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Силы и средства санитарно-противоэпидемического обеспечения населения.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Основные функциональные обязанности врачей-эпидемиологов. Планирование профилактических и санитарно-противоэпидемических мероприятий.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Основные направления работы территориального центра гигиены и эпидемиологии по организации иммунопрофилактики инфекционных заболеваний.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Международные медико-санитарные правила в системе санитарной охраны территории.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Основы санитарно-эпидемиологического законодательства Республики Беларусь в области санитарной охраны территории.</w:t>
      </w:r>
    </w:p>
    <w:p w:rsidR="00286C5D" w:rsidRPr="00286C5D" w:rsidRDefault="00286C5D" w:rsidP="00286C5D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Организация взаимодействия с заинтересованными службами и ведомствами по вопросу санитарной охраны территории.</w:t>
      </w:r>
    </w:p>
    <w:p w:rsidR="00286C5D" w:rsidRPr="00286C5D" w:rsidRDefault="00286C5D" w:rsidP="00286C5D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Аналитическая подсистема эпидемиологического слежения за инфекционными и паразитарными болезнями ЕИС-СЭС «Эпидемиология»: предназначение, особенности работы.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Основы эпидемиологического слежения, санитарно-противоэпидемические мероприятия и профилактика бактериальных кишечных инфекций.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Основы эпидемиологического слежения, санитарно-противоэпидемические мероприятия и профилактика вирусных кишечных инфекций.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Основы эпидемиологического слежения, санитарно-противоэпидемические мероприятия и профилактика бактериальных аэрозольных инфекций.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Основы эпидемиологического слежения, санитарно-противоэпидемические мероприятия и профилактика вирусных аэрозольных инфекций.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Основы эпидемиологического слежения, санитарно-противоэпидемические мероприятия и профилактика парентеральных вирусных гепатитов (В, С, D).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Основы эпидемиологического слежения, санитарно-противоэпидемические мероприятия и профилактика ВИЧ-инфекции.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Основы эпидемиологического слежения, санитарно-противоэпидемические мероприятия и профилактика педикулеза.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 xml:space="preserve">Основы эпидемиологического слежения, санитарно-противоэпидемические мероприятия и профилактика бешенства. 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Основы эпидемиологического слежения, санитарно-противоэпидемические мероприятия и профилактика зоонозных инфекций (лептоспироз, туляремия).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Основы эпидемиологического слежения, санитарно-противоэпидемические мероприятия и профилактика трансмиссивных инфекций (клещевой энцефалит, болезнь Лайма).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ИСМП: критерии отнесения. ИСМП в стационарах различного профиля.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Компьютерная программа WHONET: предназначение, особенности работы. Система инфекционного контроля.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Профилактика ИСМП в стационарах и амбулаторно-поликлинических организациях здравоохранения.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 xml:space="preserve">Медицинские отходы и их обезвреживание в системе профилактики ИСМП. 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Организация работы и функциональные обязанности клинического эпидемиолога.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286C5D">
        <w:rPr>
          <w:rFonts w:eastAsiaTheme="minorHAnsi"/>
          <w:sz w:val="24"/>
          <w:szCs w:val="24"/>
          <w:lang w:eastAsia="en-US"/>
        </w:rPr>
        <w:t>Основные направления работы территориального центра гигиены и эпидемиологии по профилактике и эпидемиологическому слежению за паразитарными болезнями (гельми</w:t>
      </w:r>
      <w:bookmarkStart w:id="0" w:name="_GoBack"/>
      <w:bookmarkEnd w:id="0"/>
      <w:r w:rsidRPr="00286C5D">
        <w:rPr>
          <w:rFonts w:eastAsiaTheme="minorHAnsi"/>
          <w:sz w:val="24"/>
          <w:szCs w:val="24"/>
          <w:lang w:eastAsia="en-US"/>
        </w:rPr>
        <w:t>нтозами).</w:t>
      </w:r>
    </w:p>
    <w:p w:rsidR="00286C5D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86C5D">
        <w:rPr>
          <w:sz w:val="24"/>
          <w:szCs w:val="24"/>
        </w:rPr>
        <w:t>Санитарно-паразитологическое обследование населения и исследование объектов внешней среды.</w:t>
      </w:r>
    </w:p>
    <w:p w:rsidR="00D04FB6" w:rsidRPr="00286C5D" w:rsidRDefault="00286C5D" w:rsidP="00286C5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86C5D">
        <w:rPr>
          <w:rFonts w:eastAsiaTheme="minorHAnsi"/>
          <w:sz w:val="24"/>
          <w:szCs w:val="24"/>
          <w:lang w:eastAsia="en-US"/>
        </w:rPr>
        <w:t>Нормативно-правовые акты в работе по профилактике инфекционных и паразитарных болезней.</w:t>
      </w:r>
    </w:p>
    <w:sectPr w:rsidR="00D04FB6" w:rsidRPr="00286C5D" w:rsidSect="00286C5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16A48"/>
    <w:multiLevelType w:val="hybridMultilevel"/>
    <w:tmpl w:val="4EEC1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5D"/>
    <w:rsid w:val="00286C5D"/>
    <w:rsid w:val="00D0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69AC"/>
  <w15:chartTrackingRefBased/>
  <w15:docId w15:val="{95DE8272-9D25-401B-A387-A06890E4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6C5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286C5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86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Митряйкина Юлия Васильевна</dc:creator>
  <cp:keywords/>
  <dc:description/>
  <cp:lastModifiedBy>Митряйкина Юлия Васильевна</cp:lastModifiedBy>
  <cp:revision>1</cp:revision>
  <dcterms:created xsi:type="dcterms:W3CDTF">2025-06-25T05:52:00Z</dcterms:created>
  <dcterms:modified xsi:type="dcterms:W3CDTF">2025-06-25T05:53:00Z</dcterms:modified>
</cp:coreProperties>
</file>